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0BAD4" w14:textId="51B3F0BB" w:rsidR="00963722" w:rsidRDefault="00933D93" w:rsidP="00933D93">
      <w:pPr>
        <w:pStyle w:val="paragraph"/>
        <w:spacing w:before="0" w:beforeAutospacing="0" w:after="0" w:afterAutospacing="0"/>
        <w:jc w:val="both"/>
        <w:textAlignment w:val="baseline"/>
        <w:rPr>
          <w:rStyle w:val="normaltextrun"/>
          <w:rFonts w:ascii="Arial" w:hAnsi="Arial" w:cs="Arial"/>
          <w:b/>
          <w:bCs/>
          <w:color w:val="000000"/>
          <w:sz w:val="22"/>
          <w:szCs w:val="22"/>
        </w:rPr>
      </w:pPr>
      <w:r>
        <w:rPr>
          <w:rStyle w:val="normaltextrun"/>
          <w:rFonts w:ascii="Arial" w:hAnsi="Arial" w:cs="Arial"/>
          <w:b/>
          <w:bCs/>
          <w:color w:val="000000"/>
          <w:sz w:val="22"/>
          <w:szCs w:val="22"/>
        </w:rPr>
        <w:t xml:space="preserve">Aporte Documento Técnico </w:t>
      </w:r>
      <w:r w:rsidR="00963722">
        <w:rPr>
          <w:rStyle w:val="normaltextrun"/>
          <w:rFonts w:ascii="Arial" w:hAnsi="Arial" w:cs="Arial"/>
          <w:b/>
          <w:bCs/>
          <w:color w:val="000000"/>
          <w:sz w:val="22"/>
          <w:szCs w:val="22"/>
        </w:rPr>
        <w:t>Mapeo de Actores</w:t>
      </w:r>
      <w:r w:rsidR="00684C06">
        <w:rPr>
          <w:rStyle w:val="normaltextrun"/>
          <w:rFonts w:ascii="Arial" w:hAnsi="Arial" w:cs="Arial"/>
          <w:b/>
          <w:bCs/>
          <w:color w:val="000000"/>
          <w:sz w:val="22"/>
          <w:szCs w:val="22"/>
        </w:rPr>
        <w:t xml:space="preserve">  </w:t>
      </w:r>
    </w:p>
    <w:p w14:paraId="7AF1B668" w14:textId="4B685BA6" w:rsidR="00933D93" w:rsidRDefault="00933D93" w:rsidP="00933D93">
      <w:pPr>
        <w:pStyle w:val="paragraph"/>
        <w:spacing w:before="0" w:beforeAutospacing="0" w:after="0" w:afterAutospacing="0"/>
        <w:jc w:val="both"/>
        <w:textAlignment w:val="baseline"/>
        <w:rPr>
          <w:rStyle w:val="normaltextrun"/>
          <w:rFonts w:ascii="Arial" w:hAnsi="Arial" w:cs="Arial"/>
          <w:b/>
          <w:bCs/>
          <w:color w:val="000000"/>
          <w:sz w:val="22"/>
          <w:szCs w:val="22"/>
        </w:rPr>
      </w:pPr>
      <w:r>
        <w:rPr>
          <w:rStyle w:val="normaltextrun"/>
          <w:rFonts w:ascii="Arial" w:hAnsi="Arial" w:cs="Arial"/>
          <w:b/>
          <w:bCs/>
          <w:color w:val="000000"/>
          <w:sz w:val="22"/>
          <w:szCs w:val="22"/>
        </w:rPr>
        <w:t xml:space="preserve"> </w:t>
      </w:r>
    </w:p>
    <w:p w14:paraId="17AF1350" w14:textId="759BF422" w:rsidR="00933D93" w:rsidRDefault="00933D93" w:rsidP="00933D93">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b/>
          <w:bCs/>
          <w:color w:val="000000"/>
          <w:sz w:val="22"/>
          <w:szCs w:val="22"/>
        </w:rPr>
        <w:t>CORPOAMAZONIA – Corporación para el Desarrollo Sostenible del Sur de la Amazonia</w:t>
      </w:r>
      <w:r>
        <w:rPr>
          <w:rStyle w:val="eop"/>
          <w:rFonts w:ascii="Arial" w:hAnsi="Arial" w:cs="Arial"/>
          <w:color w:val="000000"/>
          <w:sz w:val="22"/>
          <w:szCs w:val="22"/>
        </w:rPr>
        <w:t> </w:t>
      </w:r>
    </w:p>
    <w:p w14:paraId="07959125" w14:textId="77777777" w:rsidR="00933D93" w:rsidRDefault="00933D93" w:rsidP="00933D93">
      <w:pPr>
        <w:pStyle w:val="paragraph"/>
        <w:spacing w:before="0" w:beforeAutospacing="0" w:after="0" w:afterAutospacing="0"/>
        <w:jc w:val="both"/>
        <w:textAlignment w:val="baseline"/>
        <w:rPr>
          <w:rFonts w:ascii="Segoe UI" w:hAnsi="Segoe UI" w:cs="Segoe UI"/>
          <w:color w:val="0F4761"/>
          <w:sz w:val="18"/>
          <w:szCs w:val="18"/>
        </w:rPr>
      </w:pPr>
    </w:p>
    <w:p w14:paraId="32849212" w14:textId="0CBA12AC" w:rsidR="00933D93" w:rsidRDefault="002C72A2" w:rsidP="00933D93">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color w:val="000000"/>
          <w:sz w:val="22"/>
          <w:szCs w:val="22"/>
        </w:rPr>
        <w:t xml:space="preserve">De acuerdo a la ley 99 de 1993, se crea </w:t>
      </w:r>
      <w:r w:rsidR="00933D93">
        <w:rPr>
          <w:rStyle w:val="normaltextrun"/>
          <w:rFonts w:ascii="Arial" w:hAnsi="Arial" w:cs="Arial"/>
          <w:color w:val="000000"/>
          <w:sz w:val="22"/>
          <w:szCs w:val="22"/>
        </w:rPr>
        <w:t>Corpoamazonia</w:t>
      </w:r>
      <w:r w:rsidR="00933D93">
        <w:rPr>
          <w:rStyle w:val="apple-converted-space"/>
          <w:rFonts w:ascii="Arial" w:hAnsi="Arial" w:cs="Arial"/>
          <w:color w:val="000000"/>
          <w:sz w:val="22"/>
          <w:szCs w:val="22"/>
        </w:rPr>
        <w:t> </w:t>
      </w:r>
      <w:r w:rsidR="00933D93">
        <w:rPr>
          <w:rStyle w:val="normaltextrun"/>
          <w:rFonts w:ascii="Arial" w:hAnsi="Arial" w:cs="Arial"/>
          <w:color w:val="000000"/>
          <w:sz w:val="22"/>
          <w:szCs w:val="22"/>
        </w:rPr>
        <w:t>es la autoridad ambiental regional con jurisdicción en los departamentos de Amazonas, Caquetá y Putumayo. En el departamento del Amazonas cumple un papel fundamental en la protección, administración, seguimiento y control de los recursos naturales renovables, especialmente en ecosistemas estratégicos asociados a ríos, quebradas, bosques, humedales, zonas ribereñas, áreas protegidas y territorios con presencia de comunidades indígenas.</w:t>
      </w:r>
      <w:r w:rsidR="00933D93">
        <w:rPr>
          <w:rStyle w:val="eop"/>
          <w:rFonts w:ascii="Arial" w:hAnsi="Arial" w:cs="Arial"/>
          <w:color w:val="000000"/>
          <w:sz w:val="22"/>
          <w:szCs w:val="22"/>
        </w:rPr>
        <w:t> </w:t>
      </w:r>
    </w:p>
    <w:p w14:paraId="794D287E" w14:textId="77777777" w:rsidR="002C72A2" w:rsidRDefault="002C72A2" w:rsidP="00933D93">
      <w:pPr>
        <w:pStyle w:val="paragraph"/>
        <w:spacing w:before="0" w:beforeAutospacing="0" w:after="0" w:afterAutospacing="0"/>
        <w:jc w:val="both"/>
        <w:textAlignment w:val="baseline"/>
        <w:rPr>
          <w:rStyle w:val="eop"/>
          <w:rFonts w:ascii="Arial" w:hAnsi="Arial" w:cs="Arial"/>
          <w:color w:val="000000"/>
          <w:sz w:val="22"/>
          <w:szCs w:val="22"/>
        </w:rPr>
      </w:pPr>
    </w:p>
    <w:p w14:paraId="3D748BB4" w14:textId="32068DCB" w:rsidR="002C72A2" w:rsidRDefault="002C72A2" w:rsidP="00933D93">
      <w:pPr>
        <w:pStyle w:val="paragraph"/>
        <w:spacing w:before="0" w:beforeAutospacing="0" w:after="0" w:afterAutospacing="0"/>
        <w:jc w:val="both"/>
        <w:textAlignment w:val="baseline"/>
        <w:rPr>
          <w:rStyle w:val="eop"/>
          <w:rFonts w:ascii="Arial" w:hAnsi="Arial" w:cs="Arial"/>
          <w:color w:val="000000"/>
          <w:sz w:val="22"/>
          <w:szCs w:val="22"/>
        </w:rPr>
      </w:pPr>
      <w:r w:rsidRPr="002C72A2">
        <w:rPr>
          <w:rStyle w:val="eop"/>
          <w:rFonts w:ascii="Arial" w:hAnsi="Arial" w:cs="Arial"/>
          <w:color w:val="000000"/>
          <w:sz w:val="22"/>
          <w:szCs w:val="22"/>
        </w:rPr>
        <w:t xml:space="preserve">Su misión principal es administrar la biodiversidad y los servicios ecosistémicos </w:t>
      </w:r>
      <w:r>
        <w:rPr>
          <w:rStyle w:val="eop"/>
          <w:rFonts w:ascii="Arial" w:hAnsi="Arial" w:cs="Arial"/>
          <w:color w:val="000000"/>
          <w:sz w:val="22"/>
          <w:szCs w:val="22"/>
        </w:rPr>
        <w:t>en esta</w:t>
      </w:r>
      <w:r w:rsidRPr="002C72A2">
        <w:rPr>
          <w:rStyle w:val="eop"/>
          <w:rFonts w:ascii="Arial" w:hAnsi="Arial" w:cs="Arial"/>
          <w:color w:val="000000"/>
          <w:sz w:val="22"/>
          <w:szCs w:val="22"/>
        </w:rPr>
        <w:t xml:space="preserve"> parte de la Amazonía colombiana.</w:t>
      </w:r>
    </w:p>
    <w:p w14:paraId="2608127A"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p>
    <w:p w14:paraId="22E4843F" w14:textId="77777777" w:rsidR="00933D93" w:rsidRDefault="00933D93" w:rsidP="00933D93">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color w:val="000000"/>
          <w:sz w:val="22"/>
          <w:szCs w:val="22"/>
        </w:rPr>
        <w:t>En relación con la biodiversidad y los servicios ecosistémicos,</w:t>
      </w:r>
      <w:r>
        <w:rPr>
          <w:rStyle w:val="apple-converted-space"/>
          <w:rFonts w:ascii="Arial" w:hAnsi="Arial" w:cs="Arial"/>
          <w:color w:val="000000"/>
          <w:sz w:val="22"/>
          <w:szCs w:val="22"/>
        </w:rPr>
        <w:t> </w:t>
      </w:r>
      <w:r>
        <w:rPr>
          <w:rStyle w:val="normaltextrun"/>
          <w:rFonts w:ascii="Arial" w:hAnsi="Arial" w:cs="Arial"/>
          <w:color w:val="000000"/>
          <w:sz w:val="22"/>
          <w:szCs w:val="22"/>
        </w:rPr>
        <w:t>Corpoamazonia</w:t>
      </w:r>
      <w:r>
        <w:rPr>
          <w:rStyle w:val="apple-converted-space"/>
          <w:rFonts w:ascii="Arial" w:hAnsi="Arial" w:cs="Arial"/>
          <w:color w:val="000000"/>
          <w:sz w:val="22"/>
          <w:szCs w:val="22"/>
        </w:rPr>
        <w:t> </w:t>
      </w:r>
      <w:r>
        <w:rPr>
          <w:rStyle w:val="normaltextrun"/>
          <w:rFonts w:ascii="Arial" w:hAnsi="Arial" w:cs="Arial"/>
          <w:color w:val="000000"/>
          <w:sz w:val="22"/>
          <w:szCs w:val="22"/>
        </w:rPr>
        <w:t>interviene mediante acciones de monitoreo ambiental, seguimiento a afectaciones sobre fuentes hídricas, control de actividades que puedan generar deterioro ambiental, atención de denuncias, verificación de permisos ambientales, elaboración de conceptos técnicos y articulación con entidades del orden territorial, nacional y comunitario.</w:t>
      </w:r>
      <w:r>
        <w:rPr>
          <w:rStyle w:val="eop"/>
          <w:rFonts w:ascii="Arial" w:hAnsi="Arial" w:cs="Arial"/>
          <w:color w:val="000000"/>
          <w:sz w:val="22"/>
          <w:szCs w:val="22"/>
        </w:rPr>
        <w:t> </w:t>
      </w:r>
    </w:p>
    <w:p w14:paraId="0135399D"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p>
    <w:p w14:paraId="33B23835" w14:textId="77777777" w:rsidR="00933D93" w:rsidRDefault="00933D93" w:rsidP="00933D93">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b/>
          <w:bCs/>
          <w:color w:val="000000"/>
          <w:sz w:val="22"/>
          <w:szCs w:val="22"/>
        </w:rPr>
        <w:t>Qué monitorea y cómo lo hace</w:t>
      </w:r>
      <w:r>
        <w:rPr>
          <w:rStyle w:val="eop"/>
          <w:rFonts w:ascii="Arial" w:hAnsi="Arial" w:cs="Arial"/>
          <w:color w:val="000000"/>
          <w:sz w:val="22"/>
          <w:szCs w:val="22"/>
        </w:rPr>
        <w:t> </w:t>
      </w:r>
    </w:p>
    <w:p w14:paraId="1AC1BD6A"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p>
    <w:p w14:paraId="5723227E" w14:textId="77777777" w:rsidR="00933D93" w:rsidRDefault="00933D93" w:rsidP="00933D93">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color w:val="000000"/>
          <w:sz w:val="22"/>
          <w:szCs w:val="22"/>
        </w:rPr>
        <w:t>Corpoamazonia</w:t>
      </w:r>
      <w:r>
        <w:rPr>
          <w:rStyle w:val="apple-converted-space"/>
          <w:rFonts w:ascii="Arial" w:hAnsi="Arial" w:cs="Arial"/>
          <w:color w:val="000000"/>
          <w:sz w:val="22"/>
          <w:szCs w:val="22"/>
        </w:rPr>
        <w:t> </w:t>
      </w:r>
      <w:r>
        <w:rPr>
          <w:rStyle w:val="normaltextrun"/>
          <w:rFonts w:ascii="Arial" w:hAnsi="Arial" w:cs="Arial"/>
          <w:color w:val="000000"/>
          <w:sz w:val="22"/>
          <w:szCs w:val="22"/>
        </w:rPr>
        <w:t>monitorea principalmente el estado de los recursos naturales, la calidad ambiental de los ecosistemas, las afectaciones sobre cuerpos de agua, la ocupación de rondas hídricas, la deforestación, los cambios de cobertura vegetal, la presión sobre fauna y flora, los posibles impactos derivados de minería ilegal, vertimientos, residuos, aprovechamientos forestales y otras actividades que puedan alterar la integridad ecológica del territorio.</w:t>
      </w:r>
      <w:r>
        <w:rPr>
          <w:rStyle w:val="eop"/>
          <w:rFonts w:ascii="Arial" w:hAnsi="Arial" w:cs="Arial"/>
          <w:color w:val="000000"/>
          <w:sz w:val="22"/>
          <w:szCs w:val="22"/>
        </w:rPr>
        <w:t> </w:t>
      </w:r>
    </w:p>
    <w:p w14:paraId="3D40C692" w14:textId="77777777" w:rsidR="0020026C" w:rsidRDefault="0020026C" w:rsidP="00933D93">
      <w:pPr>
        <w:pStyle w:val="paragraph"/>
        <w:spacing w:before="0" w:beforeAutospacing="0" w:after="0" w:afterAutospacing="0"/>
        <w:jc w:val="both"/>
        <w:textAlignment w:val="baseline"/>
        <w:rPr>
          <w:rFonts w:ascii="Segoe UI" w:hAnsi="Segoe UI" w:cs="Segoe UI"/>
          <w:sz w:val="18"/>
          <w:szCs w:val="18"/>
        </w:rPr>
      </w:pPr>
    </w:p>
    <w:p w14:paraId="79EF226C"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2"/>
          <w:szCs w:val="22"/>
        </w:rPr>
        <w:t>El monitoreo se realiza mediante visitas técnicas, inspecciones oculares, recorridos de campo, análisis de información geográfica, revisión de imágenes satelitales, atención de denuncias comunitarias, seguimiento a permisos ambientales, elaboración de informes técnicos y articulación con entidades como Parques Nacionales Naturales, SINCHI, alcaldías, Gobernación del Amazonas, Fuerza Pública, Fiscalía y autoridades indígenas.</w:t>
      </w:r>
      <w:r>
        <w:rPr>
          <w:rStyle w:val="eop"/>
          <w:rFonts w:ascii="Arial" w:hAnsi="Arial" w:cs="Arial"/>
          <w:color w:val="000000"/>
          <w:sz w:val="22"/>
          <w:szCs w:val="22"/>
        </w:rPr>
        <w:t> </w:t>
      </w:r>
    </w:p>
    <w:p w14:paraId="434FF914" w14:textId="77777777" w:rsidR="00933D93" w:rsidRDefault="00933D93" w:rsidP="00933D93">
      <w:pPr>
        <w:pStyle w:val="paragraph"/>
        <w:spacing w:before="0" w:beforeAutospacing="0" w:after="0" w:afterAutospacing="0"/>
        <w:jc w:val="both"/>
        <w:textAlignment w:val="baseline"/>
        <w:rPr>
          <w:rStyle w:val="normaltextrun"/>
          <w:rFonts w:ascii="Arial" w:hAnsi="Arial" w:cs="Arial"/>
          <w:b/>
          <w:bCs/>
          <w:color w:val="000000"/>
          <w:sz w:val="22"/>
          <w:szCs w:val="22"/>
        </w:rPr>
      </w:pPr>
    </w:p>
    <w:p w14:paraId="66088397" w14:textId="158C52C4" w:rsidR="00933D93" w:rsidRDefault="00933D93" w:rsidP="00933D93">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b/>
          <w:bCs/>
          <w:color w:val="000000"/>
          <w:sz w:val="22"/>
          <w:szCs w:val="22"/>
        </w:rPr>
        <w:t>Funciones y responsabilidades</w:t>
      </w:r>
      <w:r>
        <w:rPr>
          <w:rStyle w:val="eop"/>
          <w:rFonts w:ascii="Arial" w:hAnsi="Arial" w:cs="Arial"/>
          <w:color w:val="000000"/>
          <w:sz w:val="22"/>
          <w:szCs w:val="22"/>
        </w:rPr>
        <w:t> </w:t>
      </w:r>
    </w:p>
    <w:p w14:paraId="59CDFED7"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p>
    <w:p w14:paraId="6FAD2985"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2"/>
          <w:szCs w:val="22"/>
        </w:rPr>
        <w:t>Entre sus principales funciones se encuentran:</w:t>
      </w:r>
      <w:r>
        <w:rPr>
          <w:rStyle w:val="eop"/>
          <w:rFonts w:ascii="Arial" w:hAnsi="Arial" w:cs="Arial"/>
          <w:color w:val="000000"/>
          <w:sz w:val="22"/>
          <w:szCs w:val="22"/>
        </w:rPr>
        <w:t> </w:t>
      </w:r>
    </w:p>
    <w:p w14:paraId="611EC235" w14:textId="77777777" w:rsidR="00933D93" w:rsidRDefault="00933D93" w:rsidP="00933D93">
      <w:pPr>
        <w:pStyle w:val="paragraph"/>
        <w:numPr>
          <w:ilvl w:val="0"/>
          <w:numId w:val="17"/>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2"/>
          <w:szCs w:val="22"/>
        </w:rPr>
        <w:t>Ejercer autoridad ambiental en el departamento del Amazonas.</w:t>
      </w:r>
      <w:r>
        <w:rPr>
          <w:rStyle w:val="eop"/>
          <w:rFonts w:ascii="Arial" w:hAnsi="Arial" w:cs="Arial"/>
          <w:color w:val="000000"/>
          <w:sz w:val="22"/>
          <w:szCs w:val="22"/>
        </w:rPr>
        <w:t> </w:t>
      </w:r>
    </w:p>
    <w:p w14:paraId="740D64DC" w14:textId="77777777" w:rsidR="00933D93" w:rsidRDefault="00933D93" w:rsidP="00933D93">
      <w:pPr>
        <w:pStyle w:val="paragraph"/>
        <w:numPr>
          <w:ilvl w:val="0"/>
          <w:numId w:val="17"/>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2"/>
          <w:szCs w:val="22"/>
        </w:rPr>
        <w:t>Realizar seguimiento y control al uso y aprovechamiento de los recursos naturales.</w:t>
      </w:r>
      <w:r>
        <w:rPr>
          <w:rStyle w:val="eop"/>
          <w:rFonts w:ascii="Arial" w:hAnsi="Arial" w:cs="Arial"/>
          <w:color w:val="000000"/>
          <w:sz w:val="22"/>
          <w:szCs w:val="22"/>
        </w:rPr>
        <w:t> </w:t>
      </w:r>
    </w:p>
    <w:p w14:paraId="40E3448F" w14:textId="77777777" w:rsidR="00933D93" w:rsidRDefault="00933D93" w:rsidP="00933D93">
      <w:pPr>
        <w:pStyle w:val="paragraph"/>
        <w:numPr>
          <w:ilvl w:val="0"/>
          <w:numId w:val="17"/>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2"/>
          <w:szCs w:val="22"/>
        </w:rPr>
        <w:t>Atender quejas y denuncias ambientales presentadas por comunidades, organizaciones o instituciones.</w:t>
      </w:r>
      <w:r>
        <w:rPr>
          <w:rStyle w:val="eop"/>
          <w:rFonts w:ascii="Arial" w:hAnsi="Arial" w:cs="Arial"/>
          <w:color w:val="000000"/>
          <w:sz w:val="22"/>
          <w:szCs w:val="22"/>
        </w:rPr>
        <w:t> </w:t>
      </w:r>
    </w:p>
    <w:p w14:paraId="69C9E65B" w14:textId="77777777" w:rsidR="00933D93" w:rsidRDefault="00933D93" w:rsidP="00933D93">
      <w:pPr>
        <w:pStyle w:val="paragraph"/>
        <w:numPr>
          <w:ilvl w:val="0"/>
          <w:numId w:val="17"/>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2"/>
          <w:szCs w:val="22"/>
        </w:rPr>
        <w:t>Evaluar afectaciones sobre fuentes hídricas, bosques, fauna, flora y ecosistemas estratégicos.</w:t>
      </w:r>
      <w:r>
        <w:rPr>
          <w:rStyle w:val="eop"/>
          <w:rFonts w:ascii="Arial" w:hAnsi="Arial" w:cs="Arial"/>
          <w:color w:val="000000"/>
          <w:sz w:val="22"/>
          <w:szCs w:val="22"/>
        </w:rPr>
        <w:t> </w:t>
      </w:r>
    </w:p>
    <w:p w14:paraId="01972B0C" w14:textId="77777777" w:rsidR="00933D93" w:rsidRDefault="00933D93" w:rsidP="00933D93">
      <w:pPr>
        <w:pStyle w:val="paragraph"/>
        <w:numPr>
          <w:ilvl w:val="0"/>
          <w:numId w:val="17"/>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2"/>
          <w:szCs w:val="22"/>
        </w:rPr>
        <w:t>Emitir conceptos técnicos ambientales.</w:t>
      </w:r>
      <w:r>
        <w:rPr>
          <w:rStyle w:val="eop"/>
          <w:rFonts w:ascii="Arial" w:hAnsi="Arial" w:cs="Arial"/>
          <w:color w:val="000000"/>
          <w:sz w:val="22"/>
          <w:szCs w:val="22"/>
        </w:rPr>
        <w:t> </w:t>
      </w:r>
    </w:p>
    <w:p w14:paraId="1F5B13C0" w14:textId="77777777" w:rsidR="00933D93" w:rsidRDefault="00933D93" w:rsidP="00933D93">
      <w:pPr>
        <w:pStyle w:val="paragraph"/>
        <w:numPr>
          <w:ilvl w:val="0"/>
          <w:numId w:val="17"/>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2"/>
          <w:szCs w:val="22"/>
        </w:rPr>
        <w:t>Imponer medidas preventivas y adelantar procesos sancionatorios cuando se identifiquen infracciones ambientales.</w:t>
      </w:r>
      <w:r>
        <w:rPr>
          <w:rStyle w:val="eop"/>
          <w:rFonts w:ascii="Arial" w:hAnsi="Arial" w:cs="Arial"/>
          <w:color w:val="000000"/>
          <w:sz w:val="22"/>
          <w:szCs w:val="22"/>
        </w:rPr>
        <w:t> </w:t>
      </w:r>
    </w:p>
    <w:p w14:paraId="04115C8F" w14:textId="77777777" w:rsidR="00933D93" w:rsidRDefault="00933D93" w:rsidP="00933D93">
      <w:pPr>
        <w:pStyle w:val="paragraph"/>
        <w:numPr>
          <w:ilvl w:val="0"/>
          <w:numId w:val="17"/>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2"/>
          <w:szCs w:val="22"/>
        </w:rPr>
        <w:t>Apoyar procesos de ordenamiento ambiental territorial.</w:t>
      </w:r>
      <w:r>
        <w:rPr>
          <w:rStyle w:val="eop"/>
          <w:rFonts w:ascii="Arial" w:hAnsi="Arial" w:cs="Arial"/>
          <w:color w:val="000000"/>
          <w:sz w:val="22"/>
          <w:szCs w:val="22"/>
        </w:rPr>
        <w:t> </w:t>
      </w:r>
    </w:p>
    <w:p w14:paraId="29189495" w14:textId="77777777" w:rsidR="00933D93" w:rsidRDefault="00933D93" w:rsidP="00933D93">
      <w:pPr>
        <w:pStyle w:val="paragraph"/>
        <w:numPr>
          <w:ilvl w:val="0"/>
          <w:numId w:val="17"/>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2"/>
          <w:szCs w:val="22"/>
        </w:rPr>
        <w:t>Coordinar acciones interinstitucionales frente a minería ilegal y otras presiones socioambientales.</w:t>
      </w:r>
      <w:r>
        <w:rPr>
          <w:rStyle w:val="eop"/>
          <w:rFonts w:ascii="Arial" w:hAnsi="Arial" w:cs="Arial"/>
          <w:color w:val="000000"/>
          <w:sz w:val="22"/>
          <w:szCs w:val="22"/>
        </w:rPr>
        <w:t> </w:t>
      </w:r>
    </w:p>
    <w:p w14:paraId="2F08E3EC" w14:textId="77777777" w:rsidR="00933D93" w:rsidRDefault="00933D93" w:rsidP="00933D93">
      <w:pPr>
        <w:pStyle w:val="paragraph"/>
        <w:numPr>
          <w:ilvl w:val="0"/>
          <w:numId w:val="17"/>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2"/>
          <w:szCs w:val="22"/>
        </w:rPr>
        <w:lastRenderedPageBreak/>
        <w:t>Promover la restauración, mitigación o compensación de áreas afectadas.</w:t>
      </w:r>
      <w:r>
        <w:rPr>
          <w:rStyle w:val="eop"/>
          <w:rFonts w:ascii="Arial" w:hAnsi="Arial" w:cs="Arial"/>
          <w:color w:val="000000"/>
          <w:sz w:val="22"/>
          <w:szCs w:val="22"/>
        </w:rPr>
        <w:t> </w:t>
      </w:r>
    </w:p>
    <w:p w14:paraId="031C9105" w14:textId="77777777" w:rsidR="00933D93" w:rsidRDefault="00933D93" w:rsidP="00933D93">
      <w:pPr>
        <w:pStyle w:val="paragraph"/>
        <w:spacing w:before="0" w:beforeAutospacing="0" w:after="0" w:afterAutospacing="0"/>
        <w:ind w:left="720"/>
        <w:jc w:val="both"/>
        <w:textAlignment w:val="baseline"/>
        <w:rPr>
          <w:rFonts w:ascii="Segoe UI" w:hAnsi="Segoe UI" w:cs="Segoe UI"/>
          <w:sz w:val="18"/>
          <w:szCs w:val="18"/>
        </w:rPr>
      </w:pPr>
      <w:r>
        <w:rPr>
          <w:rStyle w:val="eop"/>
          <w:rFonts w:ascii="Arial" w:hAnsi="Arial" w:cs="Arial"/>
          <w:color w:val="000000"/>
          <w:sz w:val="22"/>
          <w:szCs w:val="22"/>
        </w:rPr>
        <w:t> </w:t>
      </w:r>
    </w:p>
    <w:p w14:paraId="79F41217" w14:textId="77777777" w:rsidR="00933D93" w:rsidRDefault="00933D93" w:rsidP="00933D93">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b/>
          <w:bCs/>
          <w:color w:val="000000"/>
          <w:sz w:val="22"/>
          <w:szCs w:val="22"/>
        </w:rPr>
        <w:t>Formas de control y vigilancia</w:t>
      </w:r>
      <w:r>
        <w:rPr>
          <w:rStyle w:val="eop"/>
          <w:rFonts w:ascii="Arial" w:hAnsi="Arial" w:cs="Arial"/>
          <w:color w:val="000000"/>
          <w:sz w:val="22"/>
          <w:szCs w:val="22"/>
        </w:rPr>
        <w:t> </w:t>
      </w:r>
    </w:p>
    <w:p w14:paraId="37C0155A"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p>
    <w:p w14:paraId="2366F76E" w14:textId="77777777" w:rsidR="00933D93" w:rsidRDefault="00933D93" w:rsidP="00933D93">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color w:val="000000"/>
          <w:sz w:val="22"/>
          <w:szCs w:val="22"/>
        </w:rPr>
        <w:t>Las acciones de control y vigilancia se desarrollan mediante visitas de inspección, recorridos fluviales, revisión de denuncias, uso de cartografía y sistemas de información geográfica, seguimiento a permisos ambientales, articulación con fuerza pública y entidades judiciales, imposición de medidas preventivas y elaboración de informes técnicos para la toma de decisiones.</w:t>
      </w:r>
      <w:r>
        <w:rPr>
          <w:rStyle w:val="eop"/>
          <w:rFonts w:ascii="Arial" w:hAnsi="Arial" w:cs="Arial"/>
          <w:color w:val="000000"/>
          <w:sz w:val="22"/>
          <w:szCs w:val="22"/>
        </w:rPr>
        <w:t> </w:t>
      </w:r>
    </w:p>
    <w:p w14:paraId="19473CCB"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p>
    <w:p w14:paraId="402EFB85"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2"/>
          <w:szCs w:val="22"/>
        </w:rPr>
        <w:t>En el contexto de minería ilegal, su rol es clave para documentar afectaciones ambientales, identificar puntos críticos, acompañar operativos interinstitucionales, orientar medidas de restauración y fortalecer la trazabilidad de información ambiental relacionada con dragas, balsas, remoción de sedimentos, mercurio y afectación a ecosistemas acuáticos.</w:t>
      </w:r>
      <w:r>
        <w:rPr>
          <w:rStyle w:val="eop"/>
          <w:rFonts w:ascii="Arial" w:hAnsi="Arial" w:cs="Arial"/>
          <w:color w:val="000000"/>
          <w:sz w:val="22"/>
          <w:szCs w:val="22"/>
        </w:rPr>
        <w:t> </w:t>
      </w:r>
    </w:p>
    <w:p w14:paraId="17795A04" w14:textId="77777777" w:rsidR="00933D93" w:rsidRDefault="00933D93" w:rsidP="00933D93">
      <w:pPr>
        <w:pStyle w:val="paragraph"/>
        <w:spacing w:before="0" w:beforeAutospacing="0" w:after="0" w:afterAutospacing="0"/>
        <w:jc w:val="both"/>
        <w:textAlignment w:val="baseline"/>
        <w:rPr>
          <w:rStyle w:val="normaltextrun"/>
          <w:rFonts w:ascii="Arial" w:hAnsi="Arial" w:cs="Arial"/>
          <w:b/>
          <w:bCs/>
          <w:color w:val="000000"/>
          <w:sz w:val="22"/>
          <w:szCs w:val="22"/>
        </w:rPr>
      </w:pPr>
    </w:p>
    <w:p w14:paraId="6573FEDF" w14:textId="5CF3FE8D" w:rsidR="00933D93" w:rsidRDefault="00933D93" w:rsidP="00933D93">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b/>
          <w:bCs/>
          <w:color w:val="000000"/>
          <w:sz w:val="22"/>
          <w:szCs w:val="22"/>
        </w:rPr>
        <w:t>Dificultades o limitantes</w:t>
      </w:r>
      <w:r>
        <w:rPr>
          <w:rStyle w:val="eop"/>
          <w:rFonts w:ascii="Arial" w:hAnsi="Arial" w:cs="Arial"/>
          <w:color w:val="000000"/>
          <w:sz w:val="22"/>
          <w:szCs w:val="22"/>
        </w:rPr>
        <w:t> </w:t>
      </w:r>
    </w:p>
    <w:p w14:paraId="15993008"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p>
    <w:p w14:paraId="2E059DE2" w14:textId="77777777" w:rsidR="00933D93" w:rsidRDefault="00933D93" w:rsidP="00933D93">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color w:val="000000"/>
          <w:sz w:val="22"/>
          <w:szCs w:val="22"/>
        </w:rPr>
        <w:t>Las principales limitantes están relacionadas con la gran extensión territorial del departamento, la dispersión de comunidades, las dificultades de acceso fluvial y aéreo, los altos costos logísticos, las condiciones de seguridad en algunos corredores, la baja disponibilidad de personal operativo para cobertura permanente, la necesidad de mayor articulación institucional y la complejidad de controlar actividades ilegales en zonas fronterizas o de difícil acceso.</w:t>
      </w:r>
      <w:r>
        <w:rPr>
          <w:rStyle w:val="eop"/>
          <w:rFonts w:ascii="Arial" w:hAnsi="Arial" w:cs="Arial"/>
          <w:color w:val="000000"/>
          <w:sz w:val="22"/>
          <w:szCs w:val="22"/>
        </w:rPr>
        <w:t> </w:t>
      </w:r>
    </w:p>
    <w:p w14:paraId="38D1B344"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p>
    <w:p w14:paraId="2886BE05"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color w:val="000000"/>
          <w:sz w:val="22"/>
          <w:szCs w:val="22"/>
        </w:rPr>
        <w:t>Nivel 3 – Soporte institucional y normativo:</w:t>
      </w:r>
      <w:r>
        <w:rPr>
          <w:rStyle w:val="apple-converted-space"/>
          <w:rFonts w:ascii="Arial" w:hAnsi="Arial" w:cs="Arial"/>
          <w:b/>
          <w:bCs/>
          <w:color w:val="000000"/>
          <w:sz w:val="22"/>
          <w:szCs w:val="22"/>
        </w:rPr>
        <w:t> </w:t>
      </w:r>
      <w:r>
        <w:rPr>
          <w:rStyle w:val="normaltextrun"/>
          <w:rFonts w:ascii="Arial" w:hAnsi="Arial" w:cs="Arial"/>
          <w:color w:val="000000"/>
          <w:sz w:val="22"/>
          <w:szCs w:val="22"/>
        </w:rPr>
        <w:t>Tienen competencia administrativa, regulatoria, de planificación, seguimiento y toma de decisiones.</w:t>
      </w:r>
      <w:r>
        <w:rPr>
          <w:rStyle w:val="eop"/>
          <w:rFonts w:ascii="Arial" w:hAnsi="Arial" w:cs="Arial"/>
          <w:color w:val="000000"/>
          <w:sz w:val="22"/>
          <w:szCs w:val="22"/>
        </w:rPr>
        <w:t> </w:t>
      </w:r>
    </w:p>
    <w:p w14:paraId="54349444"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color w:val="000000"/>
          <w:sz w:val="22"/>
          <w:szCs w:val="22"/>
        </w:rPr>
        <w:t> </w:t>
      </w:r>
    </w:p>
    <w:p w14:paraId="0028D55D" w14:textId="77777777" w:rsidR="00933D93" w:rsidRDefault="00933D93" w:rsidP="00933D93">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b/>
          <w:bCs/>
          <w:color w:val="000000"/>
          <w:sz w:val="22"/>
          <w:szCs w:val="22"/>
        </w:rPr>
        <w:t>Instituto Colombiano de Bienestar Familiar, Secretaría de Salud Departamental y sector salud</w:t>
      </w:r>
      <w:r>
        <w:rPr>
          <w:rStyle w:val="eop"/>
          <w:rFonts w:ascii="Arial" w:hAnsi="Arial" w:cs="Arial"/>
          <w:color w:val="000000"/>
          <w:sz w:val="22"/>
          <w:szCs w:val="22"/>
        </w:rPr>
        <w:t> </w:t>
      </w:r>
    </w:p>
    <w:p w14:paraId="58FC90D7" w14:textId="77777777" w:rsidR="00933D93" w:rsidRDefault="00933D93" w:rsidP="00933D93">
      <w:pPr>
        <w:pStyle w:val="paragraph"/>
        <w:spacing w:before="0" w:beforeAutospacing="0" w:after="0" w:afterAutospacing="0"/>
        <w:jc w:val="both"/>
        <w:textAlignment w:val="baseline"/>
        <w:rPr>
          <w:rFonts w:ascii="Segoe UI" w:hAnsi="Segoe UI" w:cs="Segoe UI"/>
          <w:color w:val="0F4761"/>
          <w:sz w:val="18"/>
          <w:szCs w:val="18"/>
        </w:rPr>
      </w:pPr>
    </w:p>
    <w:p w14:paraId="3A474F9E" w14:textId="77777777" w:rsidR="00933D93" w:rsidRDefault="00933D93" w:rsidP="00933D93">
      <w:pPr>
        <w:pStyle w:val="paragraph"/>
        <w:spacing w:before="0" w:beforeAutospacing="0" w:after="0" w:afterAutospacing="0"/>
        <w:jc w:val="both"/>
        <w:textAlignment w:val="baseline"/>
        <w:rPr>
          <w:rStyle w:val="normaltextrun"/>
          <w:rFonts w:ascii="Arial" w:hAnsi="Arial" w:cs="Arial"/>
          <w:color w:val="000000"/>
          <w:sz w:val="22"/>
          <w:szCs w:val="22"/>
        </w:rPr>
      </w:pPr>
      <w:r>
        <w:rPr>
          <w:rStyle w:val="normaltextrun"/>
          <w:rFonts w:ascii="Arial" w:hAnsi="Arial" w:cs="Arial"/>
          <w:color w:val="000000"/>
          <w:sz w:val="22"/>
          <w:szCs w:val="22"/>
        </w:rPr>
        <w:t>El sector salud es un actor relevante en el monitoreo socioambiental porque la minería ilegal con uso de mercurio puede generar afectaciones sobre la salud humana, especialmente en comunidades que dependen del pescado y del agua de los ríos para su alimentación y vida cotidiana. En el estudio de caso se identificó que los impactos más críticos incluyen contaminación por mercurio, bioacumulación en peces, riesgos para gestantes, niños, lactantes y población indígena ribereña.  </w:t>
      </w:r>
    </w:p>
    <w:p w14:paraId="398E1066" w14:textId="33E383E2" w:rsidR="00933D93" w:rsidRDefault="00933D93" w:rsidP="00933D93">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color w:val="000000"/>
          <w:sz w:val="22"/>
          <w:szCs w:val="22"/>
        </w:rPr>
        <w:t> </w:t>
      </w:r>
    </w:p>
    <w:p w14:paraId="1A17FB11" w14:textId="77777777" w:rsidR="00933D93" w:rsidRDefault="00933D93" w:rsidP="00933D93">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b/>
          <w:bCs/>
          <w:color w:val="000000"/>
          <w:sz w:val="22"/>
          <w:szCs w:val="22"/>
        </w:rPr>
        <w:t>Qué monitorean y cómo lo hacen</w:t>
      </w:r>
      <w:r>
        <w:rPr>
          <w:rStyle w:val="eop"/>
          <w:rFonts w:ascii="Arial" w:hAnsi="Arial" w:cs="Arial"/>
          <w:color w:val="000000"/>
          <w:sz w:val="22"/>
          <w:szCs w:val="22"/>
        </w:rPr>
        <w:t> </w:t>
      </w:r>
    </w:p>
    <w:p w14:paraId="38622E1D"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p>
    <w:p w14:paraId="25076D28" w14:textId="77777777" w:rsidR="00933D93" w:rsidRDefault="00933D93" w:rsidP="00933D93">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color w:val="000000"/>
          <w:sz w:val="22"/>
          <w:szCs w:val="22"/>
        </w:rPr>
        <w:t>El sector salud puede monitorear exposición a mercurio, riesgos sanitarios por consumo de pescado contaminado, calidad del agua para consumo humano, enfermedades asociadas a contaminación ambiental, seguridad alimentaria, afectaciones nutricionales y eventos de interés en salud pública ambiental.</w:t>
      </w:r>
      <w:r>
        <w:rPr>
          <w:rStyle w:val="eop"/>
          <w:rFonts w:ascii="Arial" w:hAnsi="Arial" w:cs="Arial"/>
          <w:color w:val="000000"/>
          <w:sz w:val="22"/>
          <w:szCs w:val="22"/>
        </w:rPr>
        <w:t> </w:t>
      </w:r>
    </w:p>
    <w:p w14:paraId="0F964AC7"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p>
    <w:p w14:paraId="28F350EE" w14:textId="77777777" w:rsidR="00933D93" w:rsidRDefault="00933D93" w:rsidP="00933D93">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color w:val="000000"/>
          <w:sz w:val="22"/>
          <w:szCs w:val="22"/>
        </w:rPr>
        <w:t>El monitoreo se puede realizar mediante vigilancia epidemiológica, tamizajes, biomonitoreo en población expuesta, encuestas alimentarias, seguimiento a comunidades ribereñas, articulación con laboratorios, análisis de riesgo sanitario, educación en salud ambiental y coordinación con autoridades indígenas.</w:t>
      </w:r>
      <w:r>
        <w:rPr>
          <w:rStyle w:val="eop"/>
          <w:rFonts w:ascii="Arial" w:hAnsi="Arial" w:cs="Arial"/>
          <w:color w:val="000000"/>
          <w:sz w:val="22"/>
          <w:szCs w:val="22"/>
        </w:rPr>
        <w:t> </w:t>
      </w:r>
    </w:p>
    <w:p w14:paraId="2FDD4F2C"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p>
    <w:p w14:paraId="1974732F"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color w:val="000000"/>
          <w:sz w:val="22"/>
          <w:szCs w:val="22"/>
        </w:rPr>
        <w:t>Funciones y responsabilidades</w:t>
      </w:r>
      <w:r>
        <w:rPr>
          <w:rStyle w:val="eop"/>
          <w:rFonts w:ascii="Arial" w:hAnsi="Arial" w:cs="Arial"/>
          <w:color w:val="000000"/>
          <w:sz w:val="22"/>
          <w:szCs w:val="22"/>
        </w:rPr>
        <w:t> </w:t>
      </w:r>
    </w:p>
    <w:p w14:paraId="3B8BD62C" w14:textId="77777777" w:rsidR="00933D93" w:rsidRDefault="00933D93" w:rsidP="00933D93">
      <w:pPr>
        <w:pStyle w:val="paragraph"/>
        <w:spacing w:before="0" w:beforeAutospacing="0" w:after="0" w:afterAutospacing="0"/>
        <w:jc w:val="both"/>
        <w:textAlignment w:val="baseline"/>
        <w:rPr>
          <w:rStyle w:val="normaltextrun"/>
          <w:rFonts w:ascii="Arial" w:hAnsi="Arial" w:cs="Arial"/>
          <w:color w:val="000000"/>
          <w:sz w:val="22"/>
          <w:szCs w:val="22"/>
        </w:rPr>
      </w:pPr>
    </w:p>
    <w:p w14:paraId="237398CF" w14:textId="58331A7B" w:rsidR="00933D93" w:rsidRDefault="00933D93" w:rsidP="00933D9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2"/>
          <w:szCs w:val="22"/>
        </w:rPr>
        <w:lastRenderedPageBreak/>
        <w:t>Sus principales responsabilidades son:</w:t>
      </w:r>
      <w:r>
        <w:rPr>
          <w:rStyle w:val="eop"/>
          <w:rFonts w:ascii="Arial" w:hAnsi="Arial" w:cs="Arial"/>
          <w:color w:val="000000"/>
          <w:sz w:val="22"/>
          <w:szCs w:val="22"/>
        </w:rPr>
        <w:t> </w:t>
      </w:r>
    </w:p>
    <w:p w14:paraId="24BA02A9" w14:textId="77777777" w:rsidR="00933D93" w:rsidRDefault="00933D93" w:rsidP="00933D93">
      <w:pPr>
        <w:pStyle w:val="paragraph"/>
        <w:numPr>
          <w:ilvl w:val="0"/>
          <w:numId w:val="18"/>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2"/>
          <w:szCs w:val="22"/>
        </w:rPr>
        <w:t>Identificar riesgos en salud pública asociados a contaminación ambiental.</w:t>
      </w:r>
      <w:r>
        <w:rPr>
          <w:rStyle w:val="eop"/>
          <w:rFonts w:ascii="Arial" w:hAnsi="Arial" w:cs="Arial"/>
          <w:color w:val="000000"/>
          <w:sz w:val="22"/>
          <w:szCs w:val="22"/>
        </w:rPr>
        <w:t> </w:t>
      </w:r>
    </w:p>
    <w:p w14:paraId="0F04CF7C" w14:textId="77777777" w:rsidR="00933D93" w:rsidRDefault="00933D93" w:rsidP="00933D93">
      <w:pPr>
        <w:pStyle w:val="paragraph"/>
        <w:numPr>
          <w:ilvl w:val="0"/>
          <w:numId w:val="18"/>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2"/>
          <w:szCs w:val="22"/>
        </w:rPr>
        <w:t>Realizar vigilancia epidemiológica de población expuesta.</w:t>
      </w:r>
      <w:r>
        <w:rPr>
          <w:rStyle w:val="eop"/>
          <w:rFonts w:ascii="Arial" w:hAnsi="Arial" w:cs="Arial"/>
          <w:color w:val="000000"/>
          <w:sz w:val="22"/>
          <w:szCs w:val="22"/>
        </w:rPr>
        <w:t> </w:t>
      </w:r>
    </w:p>
    <w:p w14:paraId="46988377" w14:textId="77777777" w:rsidR="00933D93" w:rsidRDefault="00933D93" w:rsidP="00933D93">
      <w:pPr>
        <w:pStyle w:val="paragraph"/>
        <w:numPr>
          <w:ilvl w:val="0"/>
          <w:numId w:val="18"/>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2"/>
          <w:szCs w:val="22"/>
        </w:rPr>
        <w:t>Orientar medidas preventivas frente al consumo de pescado contaminado.</w:t>
      </w:r>
      <w:r>
        <w:rPr>
          <w:rStyle w:val="eop"/>
          <w:rFonts w:ascii="Arial" w:hAnsi="Arial" w:cs="Arial"/>
          <w:color w:val="000000"/>
          <w:sz w:val="22"/>
          <w:szCs w:val="22"/>
        </w:rPr>
        <w:t> </w:t>
      </w:r>
    </w:p>
    <w:p w14:paraId="63F847A4" w14:textId="77777777" w:rsidR="00933D93" w:rsidRDefault="00933D93" w:rsidP="00933D93">
      <w:pPr>
        <w:pStyle w:val="paragraph"/>
        <w:numPr>
          <w:ilvl w:val="0"/>
          <w:numId w:val="18"/>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2"/>
          <w:szCs w:val="22"/>
        </w:rPr>
        <w:t>Coordinar acciones con laboratorios, IPS, EPS y autoridades indígenas.</w:t>
      </w:r>
      <w:r>
        <w:rPr>
          <w:rStyle w:val="eop"/>
          <w:rFonts w:ascii="Arial" w:hAnsi="Arial" w:cs="Arial"/>
          <w:color w:val="000000"/>
          <w:sz w:val="22"/>
          <w:szCs w:val="22"/>
        </w:rPr>
        <w:t> </w:t>
      </w:r>
    </w:p>
    <w:p w14:paraId="46E14F7F" w14:textId="77777777" w:rsidR="00933D93" w:rsidRDefault="00933D93" w:rsidP="00933D93">
      <w:pPr>
        <w:pStyle w:val="paragraph"/>
        <w:numPr>
          <w:ilvl w:val="0"/>
          <w:numId w:val="18"/>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2"/>
          <w:szCs w:val="22"/>
        </w:rPr>
        <w:t>Apoyar procesos de educación sanitaria y seguridad alimentaria.</w:t>
      </w:r>
      <w:r>
        <w:rPr>
          <w:rStyle w:val="eop"/>
          <w:rFonts w:ascii="Arial" w:hAnsi="Arial" w:cs="Arial"/>
          <w:color w:val="000000"/>
          <w:sz w:val="22"/>
          <w:szCs w:val="22"/>
        </w:rPr>
        <w:t> </w:t>
      </w:r>
    </w:p>
    <w:p w14:paraId="4CB38AB6" w14:textId="77777777" w:rsidR="00933D93" w:rsidRDefault="00933D93" w:rsidP="00933D93">
      <w:pPr>
        <w:pStyle w:val="paragraph"/>
        <w:numPr>
          <w:ilvl w:val="0"/>
          <w:numId w:val="18"/>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2"/>
          <w:szCs w:val="22"/>
        </w:rPr>
        <w:t>Generar alertas sanitarias cuando se identifiquen riesgos.</w:t>
      </w:r>
      <w:r>
        <w:rPr>
          <w:rStyle w:val="eop"/>
          <w:rFonts w:ascii="Arial" w:hAnsi="Arial" w:cs="Arial"/>
          <w:color w:val="000000"/>
          <w:sz w:val="22"/>
          <w:szCs w:val="22"/>
        </w:rPr>
        <w:t> </w:t>
      </w:r>
    </w:p>
    <w:p w14:paraId="1EDD3E36" w14:textId="77777777" w:rsidR="00933D93" w:rsidRDefault="00933D93" w:rsidP="00933D93">
      <w:pPr>
        <w:pStyle w:val="paragraph"/>
        <w:numPr>
          <w:ilvl w:val="0"/>
          <w:numId w:val="18"/>
        </w:numPr>
        <w:spacing w:before="0" w:beforeAutospacing="0" w:after="0" w:afterAutospacing="0"/>
        <w:jc w:val="both"/>
        <w:textAlignment w:val="baseline"/>
        <w:rPr>
          <w:rFonts w:ascii="Arial" w:hAnsi="Arial" w:cs="Arial"/>
          <w:sz w:val="22"/>
          <w:szCs w:val="22"/>
        </w:rPr>
      </w:pPr>
      <w:r>
        <w:rPr>
          <w:rStyle w:val="normaltextrun"/>
          <w:rFonts w:ascii="Arial" w:hAnsi="Arial" w:cs="Arial"/>
          <w:color w:val="000000"/>
          <w:sz w:val="22"/>
          <w:szCs w:val="22"/>
        </w:rPr>
        <w:t>Articular información ambiental y sanitaria para la toma de decisiones.</w:t>
      </w:r>
      <w:r>
        <w:rPr>
          <w:rStyle w:val="eop"/>
          <w:rFonts w:ascii="Arial" w:hAnsi="Arial" w:cs="Arial"/>
          <w:color w:val="000000"/>
          <w:sz w:val="22"/>
          <w:szCs w:val="22"/>
        </w:rPr>
        <w:t> </w:t>
      </w:r>
    </w:p>
    <w:p w14:paraId="55C5763E" w14:textId="77777777" w:rsidR="00933D93" w:rsidRDefault="00933D93" w:rsidP="00933D93">
      <w:pPr>
        <w:pStyle w:val="paragraph"/>
        <w:spacing w:before="0" w:beforeAutospacing="0" w:after="0" w:afterAutospacing="0"/>
        <w:jc w:val="both"/>
        <w:textAlignment w:val="baseline"/>
        <w:rPr>
          <w:rStyle w:val="normaltextrun"/>
          <w:rFonts w:ascii="Arial" w:hAnsi="Arial" w:cs="Arial"/>
          <w:b/>
          <w:bCs/>
          <w:color w:val="000000"/>
          <w:sz w:val="22"/>
          <w:szCs w:val="22"/>
        </w:rPr>
      </w:pPr>
    </w:p>
    <w:p w14:paraId="28A86C25" w14:textId="714A9866" w:rsidR="00933D93" w:rsidRDefault="00933D93" w:rsidP="00933D93">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b/>
          <w:bCs/>
          <w:color w:val="000000"/>
          <w:sz w:val="22"/>
          <w:szCs w:val="22"/>
        </w:rPr>
        <w:t>Formas de control y vigilancia</w:t>
      </w:r>
      <w:r>
        <w:rPr>
          <w:rStyle w:val="eop"/>
          <w:rFonts w:ascii="Arial" w:hAnsi="Arial" w:cs="Arial"/>
          <w:color w:val="000000"/>
          <w:sz w:val="22"/>
          <w:szCs w:val="22"/>
        </w:rPr>
        <w:t> </w:t>
      </w:r>
    </w:p>
    <w:p w14:paraId="44BD51A4"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p>
    <w:p w14:paraId="604988B4"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2"/>
          <w:szCs w:val="22"/>
        </w:rPr>
        <w:t>Las formas de vigilancia incluyen seguimiento epidemiológico, toma de muestras biológicas cuando aplique, análisis de información sanitaria, vigilancia de calidad del agua, educación comunitaria, rutas de atención, reportes institucionales y articulación con entidades ambientales para cruzar información sobre puntos de minería y exposición humana.</w:t>
      </w:r>
      <w:r>
        <w:rPr>
          <w:rStyle w:val="eop"/>
          <w:rFonts w:ascii="Arial" w:hAnsi="Arial" w:cs="Arial"/>
          <w:color w:val="000000"/>
          <w:sz w:val="22"/>
          <w:szCs w:val="22"/>
        </w:rPr>
        <w:t> </w:t>
      </w:r>
    </w:p>
    <w:p w14:paraId="308C011B" w14:textId="77777777" w:rsidR="00933D93" w:rsidRDefault="00933D93" w:rsidP="00933D93">
      <w:pPr>
        <w:pStyle w:val="paragraph"/>
        <w:spacing w:before="0" w:beforeAutospacing="0" w:after="0" w:afterAutospacing="0"/>
        <w:jc w:val="both"/>
        <w:textAlignment w:val="baseline"/>
        <w:rPr>
          <w:rStyle w:val="normaltextrun"/>
          <w:rFonts w:ascii="Arial" w:hAnsi="Arial" w:cs="Arial"/>
          <w:b/>
          <w:bCs/>
          <w:color w:val="000000"/>
          <w:sz w:val="22"/>
          <w:szCs w:val="22"/>
        </w:rPr>
      </w:pPr>
    </w:p>
    <w:p w14:paraId="000E4340" w14:textId="2DF1CE81" w:rsidR="00933D93" w:rsidRDefault="00933D93" w:rsidP="00933D93">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b/>
          <w:bCs/>
          <w:color w:val="000000"/>
          <w:sz w:val="22"/>
          <w:szCs w:val="22"/>
        </w:rPr>
        <w:t>Dificultades o limitantes</w:t>
      </w:r>
      <w:r>
        <w:rPr>
          <w:rStyle w:val="eop"/>
          <w:rFonts w:ascii="Arial" w:hAnsi="Arial" w:cs="Arial"/>
          <w:color w:val="000000"/>
          <w:sz w:val="22"/>
          <w:szCs w:val="22"/>
        </w:rPr>
        <w:t> </w:t>
      </w:r>
    </w:p>
    <w:p w14:paraId="2C554774"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p>
    <w:p w14:paraId="3E36AA45" w14:textId="77777777" w:rsidR="00933D93" w:rsidRDefault="00933D93" w:rsidP="00933D9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2"/>
          <w:szCs w:val="22"/>
        </w:rPr>
        <w:t>Las principales limitaciones son la dificultad para realizar muestreos periódicos en zonas remotas, la necesidad de laboratorios especializados, la dispersión poblacional, las barreras culturales y lingüísticas, la falta de datos actualizados, la limitada conectividad y la necesidad de fortalecer protocolos diferenciales para comunidades indígenas.</w:t>
      </w:r>
      <w:r>
        <w:rPr>
          <w:rStyle w:val="eop"/>
          <w:rFonts w:ascii="Arial" w:hAnsi="Arial" w:cs="Arial"/>
          <w:color w:val="000000"/>
          <w:sz w:val="22"/>
          <w:szCs w:val="22"/>
        </w:rPr>
        <w:t> </w:t>
      </w:r>
    </w:p>
    <w:p w14:paraId="2AE02FF1" w14:textId="77777777" w:rsidR="00933D93" w:rsidRDefault="00933D93" w:rsidP="00933D93">
      <w:pPr>
        <w:pStyle w:val="paragraph"/>
        <w:spacing w:before="0" w:beforeAutospacing="0" w:after="0" w:afterAutospacing="0"/>
        <w:jc w:val="both"/>
        <w:textAlignment w:val="baseline"/>
        <w:rPr>
          <w:rStyle w:val="normaltextrun"/>
          <w:rFonts w:ascii="Arial" w:hAnsi="Arial" w:cs="Arial"/>
          <w:b/>
          <w:bCs/>
          <w:color w:val="000000"/>
          <w:sz w:val="22"/>
          <w:szCs w:val="22"/>
        </w:rPr>
      </w:pPr>
    </w:p>
    <w:p w14:paraId="522EDF80" w14:textId="5EA2E962" w:rsidR="00933D93" w:rsidRDefault="00933D93" w:rsidP="00933D9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color w:val="000000"/>
          <w:sz w:val="22"/>
          <w:szCs w:val="22"/>
        </w:rPr>
        <w:t>Nivel 3 – Soporte institucional y normativo:</w:t>
      </w:r>
      <w:r>
        <w:rPr>
          <w:rStyle w:val="apple-converted-space"/>
          <w:rFonts w:ascii="Arial" w:hAnsi="Arial" w:cs="Arial"/>
          <w:b/>
          <w:bCs/>
          <w:color w:val="000000"/>
          <w:sz w:val="22"/>
          <w:szCs w:val="22"/>
        </w:rPr>
        <w:t> </w:t>
      </w:r>
      <w:r>
        <w:rPr>
          <w:rStyle w:val="normaltextrun"/>
          <w:rFonts w:ascii="Arial" w:hAnsi="Arial" w:cs="Arial"/>
          <w:color w:val="000000"/>
          <w:sz w:val="22"/>
          <w:szCs w:val="22"/>
        </w:rPr>
        <w:t>Acompañamiento comunitario y protección familiar</w:t>
      </w:r>
      <w:r>
        <w:rPr>
          <w:rStyle w:val="eop"/>
          <w:rFonts w:ascii="Arial" w:hAnsi="Arial" w:cs="Arial"/>
          <w:color w:val="000000"/>
          <w:sz w:val="22"/>
          <w:szCs w:val="22"/>
        </w:rPr>
        <w:t> </w:t>
      </w:r>
    </w:p>
    <w:p w14:paraId="46F6DB65" w14:textId="77777777" w:rsidR="00933D93" w:rsidRDefault="00933D93"/>
    <w:sectPr w:rsidR="00933D9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08BB"/>
    <w:multiLevelType w:val="hybridMultilevel"/>
    <w:tmpl w:val="458C86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B4E6307"/>
    <w:multiLevelType w:val="multilevel"/>
    <w:tmpl w:val="C0BEF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32621"/>
    <w:multiLevelType w:val="multilevel"/>
    <w:tmpl w:val="0E72B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3919B7"/>
    <w:multiLevelType w:val="hybridMultilevel"/>
    <w:tmpl w:val="6F5461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EBB546A"/>
    <w:multiLevelType w:val="multilevel"/>
    <w:tmpl w:val="6E9A9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1A40C6"/>
    <w:multiLevelType w:val="multilevel"/>
    <w:tmpl w:val="5C20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AF380E"/>
    <w:multiLevelType w:val="multilevel"/>
    <w:tmpl w:val="68A27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7A7E72"/>
    <w:multiLevelType w:val="multilevel"/>
    <w:tmpl w:val="3F4A5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F67DA5"/>
    <w:multiLevelType w:val="multilevel"/>
    <w:tmpl w:val="F1063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E96505"/>
    <w:multiLevelType w:val="multilevel"/>
    <w:tmpl w:val="5B24F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AC775F"/>
    <w:multiLevelType w:val="multilevel"/>
    <w:tmpl w:val="739A4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86629B"/>
    <w:multiLevelType w:val="multilevel"/>
    <w:tmpl w:val="1B3AC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777324"/>
    <w:multiLevelType w:val="multilevel"/>
    <w:tmpl w:val="18AC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4145E7"/>
    <w:multiLevelType w:val="multilevel"/>
    <w:tmpl w:val="EC8A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9D7D41"/>
    <w:multiLevelType w:val="multilevel"/>
    <w:tmpl w:val="EC74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0A5C3A"/>
    <w:multiLevelType w:val="multilevel"/>
    <w:tmpl w:val="B890F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E1776F"/>
    <w:multiLevelType w:val="multilevel"/>
    <w:tmpl w:val="42C27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BE45C77"/>
    <w:multiLevelType w:val="multilevel"/>
    <w:tmpl w:val="138C4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30396838">
    <w:abstractNumId w:val="7"/>
  </w:num>
  <w:num w:numId="2" w16cid:durableId="595751234">
    <w:abstractNumId w:val="2"/>
  </w:num>
  <w:num w:numId="3" w16cid:durableId="645012422">
    <w:abstractNumId w:val="11"/>
  </w:num>
  <w:num w:numId="4" w16cid:durableId="734741266">
    <w:abstractNumId w:val="9"/>
  </w:num>
  <w:num w:numId="5" w16cid:durableId="2047871628">
    <w:abstractNumId w:val="14"/>
  </w:num>
  <w:num w:numId="6" w16cid:durableId="680205991">
    <w:abstractNumId w:val="10"/>
  </w:num>
  <w:num w:numId="7" w16cid:durableId="1933196307">
    <w:abstractNumId w:val="6"/>
  </w:num>
  <w:num w:numId="8" w16cid:durableId="1058357844">
    <w:abstractNumId w:val="16"/>
  </w:num>
  <w:num w:numId="9" w16cid:durableId="155538696">
    <w:abstractNumId w:val="15"/>
  </w:num>
  <w:num w:numId="10" w16cid:durableId="1084762321">
    <w:abstractNumId w:val="17"/>
  </w:num>
  <w:num w:numId="11" w16cid:durableId="1203402307">
    <w:abstractNumId w:val="1"/>
  </w:num>
  <w:num w:numId="12" w16cid:durableId="467820991">
    <w:abstractNumId w:val="12"/>
  </w:num>
  <w:num w:numId="13" w16cid:durableId="684746662">
    <w:abstractNumId w:val="8"/>
  </w:num>
  <w:num w:numId="14" w16cid:durableId="622199814">
    <w:abstractNumId w:val="4"/>
  </w:num>
  <w:num w:numId="15" w16cid:durableId="2035424306">
    <w:abstractNumId w:val="5"/>
  </w:num>
  <w:num w:numId="16" w16cid:durableId="1061176745">
    <w:abstractNumId w:val="13"/>
  </w:num>
  <w:num w:numId="17" w16cid:durableId="1165127423">
    <w:abstractNumId w:val="0"/>
  </w:num>
  <w:num w:numId="18" w16cid:durableId="2943322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D93"/>
    <w:rsid w:val="0020026C"/>
    <w:rsid w:val="002C72A2"/>
    <w:rsid w:val="00684C06"/>
    <w:rsid w:val="008074C1"/>
    <w:rsid w:val="00933D93"/>
    <w:rsid w:val="00963722"/>
    <w:rsid w:val="00D4106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2D752"/>
  <w15:chartTrackingRefBased/>
  <w15:docId w15:val="{8DDFE984-0233-7447-8939-081AE5B42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33D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933D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933D93"/>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933D93"/>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933D93"/>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933D9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33D9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33D9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33D9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33D93"/>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933D93"/>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933D93"/>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933D93"/>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933D93"/>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933D9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33D9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33D9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33D93"/>
    <w:rPr>
      <w:rFonts w:eastAsiaTheme="majorEastAsia" w:cstheme="majorBidi"/>
      <w:color w:val="272727" w:themeColor="text1" w:themeTint="D8"/>
    </w:rPr>
  </w:style>
  <w:style w:type="paragraph" w:styleId="Ttulo">
    <w:name w:val="Title"/>
    <w:basedOn w:val="Normal"/>
    <w:next w:val="Normal"/>
    <w:link w:val="TtuloCar"/>
    <w:uiPriority w:val="10"/>
    <w:qFormat/>
    <w:rsid w:val="00933D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33D9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33D9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33D9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33D93"/>
    <w:pPr>
      <w:spacing w:before="160"/>
      <w:jc w:val="center"/>
    </w:pPr>
    <w:rPr>
      <w:i/>
      <w:iCs/>
      <w:color w:val="404040" w:themeColor="text1" w:themeTint="BF"/>
    </w:rPr>
  </w:style>
  <w:style w:type="character" w:customStyle="1" w:styleId="CitaCar">
    <w:name w:val="Cita Car"/>
    <w:basedOn w:val="Fuentedeprrafopredeter"/>
    <w:link w:val="Cita"/>
    <w:uiPriority w:val="29"/>
    <w:rsid w:val="00933D93"/>
    <w:rPr>
      <w:i/>
      <w:iCs/>
      <w:color w:val="404040" w:themeColor="text1" w:themeTint="BF"/>
    </w:rPr>
  </w:style>
  <w:style w:type="paragraph" w:styleId="Prrafodelista">
    <w:name w:val="List Paragraph"/>
    <w:basedOn w:val="Normal"/>
    <w:uiPriority w:val="34"/>
    <w:qFormat/>
    <w:rsid w:val="00933D93"/>
    <w:pPr>
      <w:ind w:left="720"/>
      <w:contextualSpacing/>
    </w:pPr>
  </w:style>
  <w:style w:type="character" w:styleId="nfasisintenso">
    <w:name w:val="Intense Emphasis"/>
    <w:basedOn w:val="Fuentedeprrafopredeter"/>
    <w:uiPriority w:val="21"/>
    <w:qFormat/>
    <w:rsid w:val="00933D93"/>
    <w:rPr>
      <w:i/>
      <w:iCs/>
      <w:color w:val="2F5496" w:themeColor="accent1" w:themeShade="BF"/>
    </w:rPr>
  </w:style>
  <w:style w:type="paragraph" w:styleId="Citadestacada">
    <w:name w:val="Intense Quote"/>
    <w:basedOn w:val="Normal"/>
    <w:next w:val="Normal"/>
    <w:link w:val="CitadestacadaCar"/>
    <w:uiPriority w:val="30"/>
    <w:qFormat/>
    <w:rsid w:val="00933D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933D93"/>
    <w:rPr>
      <w:i/>
      <w:iCs/>
      <w:color w:val="2F5496" w:themeColor="accent1" w:themeShade="BF"/>
    </w:rPr>
  </w:style>
  <w:style w:type="character" w:styleId="Referenciaintensa">
    <w:name w:val="Intense Reference"/>
    <w:basedOn w:val="Fuentedeprrafopredeter"/>
    <w:uiPriority w:val="32"/>
    <w:qFormat/>
    <w:rsid w:val="00933D93"/>
    <w:rPr>
      <w:b/>
      <w:bCs/>
      <w:smallCaps/>
      <w:color w:val="2F5496" w:themeColor="accent1" w:themeShade="BF"/>
      <w:spacing w:val="5"/>
    </w:rPr>
  </w:style>
  <w:style w:type="paragraph" w:customStyle="1" w:styleId="paragraph">
    <w:name w:val="paragraph"/>
    <w:basedOn w:val="Normal"/>
    <w:rsid w:val="00933D93"/>
    <w:pPr>
      <w:spacing w:before="100" w:beforeAutospacing="1" w:after="100" w:afterAutospacing="1" w:line="240" w:lineRule="auto"/>
    </w:pPr>
    <w:rPr>
      <w:rFonts w:ascii="Times New Roman" w:eastAsia="Times New Roman" w:hAnsi="Times New Roman" w:cs="Times New Roman"/>
      <w:kern w:val="0"/>
      <w:lang w:eastAsia="es-MX"/>
      <w14:ligatures w14:val="none"/>
    </w:rPr>
  </w:style>
  <w:style w:type="character" w:customStyle="1" w:styleId="normaltextrun">
    <w:name w:val="normaltextrun"/>
    <w:basedOn w:val="Fuentedeprrafopredeter"/>
    <w:rsid w:val="00933D93"/>
  </w:style>
  <w:style w:type="character" w:customStyle="1" w:styleId="eop">
    <w:name w:val="eop"/>
    <w:basedOn w:val="Fuentedeprrafopredeter"/>
    <w:rsid w:val="00933D93"/>
  </w:style>
  <w:style w:type="character" w:customStyle="1" w:styleId="apple-converted-space">
    <w:name w:val="apple-converted-space"/>
    <w:basedOn w:val="Fuentedeprrafopredeter"/>
    <w:rsid w:val="00933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ie um novo documento." ma:contentTypeScope="" ma:versionID="4e823ac5f740ae5c8bbbcd6a1d075434">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18ec967b33b46a12f3cda870c1aa1e28"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Marcações de imagem"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A5D24F-AA0C-48C7-872C-16745484C211}">
  <ds:schemaRefs>
    <ds:schemaRef ds:uri="http://schemas.microsoft.com/office/2006/metadata/properties"/>
    <ds:schemaRef ds:uri="http://schemas.microsoft.com/office/infopath/2007/PartnerControls"/>
    <ds:schemaRef ds:uri="fd0eb54b-ed74-4015-9471-3cb1cdbbf6c9"/>
    <ds:schemaRef ds:uri="3b49c8c8-e26a-41ee-aa49-e613427f3cfc"/>
  </ds:schemaRefs>
</ds:datastoreItem>
</file>

<file path=customXml/itemProps2.xml><?xml version="1.0" encoding="utf-8"?>
<ds:datastoreItem xmlns:ds="http://schemas.openxmlformats.org/officeDocument/2006/customXml" ds:itemID="{30CCCC6D-328A-4E0A-8B7D-BD1D933A6111}">
  <ds:schemaRefs>
    <ds:schemaRef ds:uri="http://schemas.microsoft.com/sharepoint/v3/contenttype/forms"/>
  </ds:schemaRefs>
</ds:datastoreItem>
</file>

<file path=customXml/itemProps3.xml><?xml version="1.0" encoding="utf-8"?>
<ds:datastoreItem xmlns:ds="http://schemas.openxmlformats.org/officeDocument/2006/customXml" ds:itemID="{380F5787-235F-4118-AC6E-80AF65C2DD19}"/>
</file>

<file path=docProps/app.xml><?xml version="1.0" encoding="utf-8"?>
<Properties xmlns="http://schemas.openxmlformats.org/officeDocument/2006/extended-properties" xmlns:vt="http://schemas.openxmlformats.org/officeDocument/2006/docPropsVTypes">
  <Template>Normal</Template>
  <TotalTime>45</TotalTime>
  <Pages>3</Pages>
  <Words>1067</Words>
  <Characters>5871</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Camilo Pedreros Cachique</dc:creator>
  <cp:keywords/>
  <dc:description/>
  <cp:lastModifiedBy>ASUS</cp:lastModifiedBy>
  <cp:revision>3</cp:revision>
  <dcterms:created xsi:type="dcterms:W3CDTF">2026-07-07T16:04:00Z</dcterms:created>
  <dcterms:modified xsi:type="dcterms:W3CDTF">2026-07-27T06:38:00Z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